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4F4E6A" w14:textId="10042A19" w:rsidR="00932450" w:rsidRPr="004A0916" w:rsidRDefault="00932450" w:rsidP="00932450">
      <w:pPr>
        <w:rPr>
          <w:b/>
          <w:spacing w:val="0"/>
          <w:sz w:val="22"/>
          <w:lang w:val="en-GB"/>
        </w:rPr>
      </w:pPr>
      <w:r>
        <w:rPr>
          <w:b/>
          <w:spacing w:val="0"/>
          <w:sz w:val="22"/>
          <w:lang w:val="en-GB"/>
        </w:rPr>
        <w:t>Proposed funding d</w:t>
      </w:r>
      <w:r w:rsidRPr="004A0916">
        <w:rPr>
          <w:b/>
          <w:spacing w:val="0"/>
          <w:sz w:val="22"/>
          <w:lang w:val="en-GB"/>
        </w:rPr>
        <w:t xml:space="preserve">eclaration under </w:t>
      </w:r>
      <w:r>
        <w:rPr>
          <w:b/>
          <w:spacing w:val="0"/>
          <w:sz w:val="22"/>
          <w:lang w:val="en-GB"/>
        </w:rPr>
        <w:t>s</w:t>
      </w:r>
      <w:r w:rsidRPr="004A0916">
        <w:rPr>
          <w:b/>
          <w:spacing w:val="0"/>
          <w:sz w:val="22"/>
          <w:lang w:val="en-GB"/>
        </w:rPr>
        <w:t>ection 12, Community Services Act 20</w:t>
      </w:r>
      <w:r w:rsidR="00BD02E3">
        <w:rPr>
          <w:b/>
          <w:spacing w:val="0"/>
          <w:sz w:val="22"/>
          <w:lang w:val="en-GB"/>
        </w:rPr>
        <w:t>0</w:t>
      </w:r>
      <w:r w:rsidRPr="004A0916">
        <w:rPr>
          <w:b/>
          <w:spacing w:val="0"/>
          <w:sz w:val="22"/>
          <w:lang w:val="en-GB"/>
        </w:rPr>
        <w:t>7</w:t>
      </w:r>
    </w:p>
    <w:p w14:paraId="4F8041ED" w14:textId="77777777" w:rsidR="00932450" w:rsidRDefault="00932450" w:rsidP="00932450">
      <w:pPr>
        <w:tabs>
          <w:tab w:val="center" w:pos="4513"/>
          <w:tab w:val="right" w:pos="9026"/>
        </w:tabs>
        <w:jc w:val="center"/>
        <w:rPr>
          <w:rFonts w:eastAsiaTheme="minorHAnsi" w:cs="Arial"/>
          <w:b/>
          <w:spacing w:val="0"/>
          <w:sz w:val="22"/>
          <w:szCs w:val="22"/>
          <w:lang w:eastAsia="en-US"/>
        </w:rPr>
      </w:pPr>
    </w:p>
    <w:p w14:paraId="066E0009" w14:textId="77777777" w:rsidR="00932450" w:rsidRPr="00747C02" w:rsidRDefault="00932450" w:rsidP="00932450">
      <w:pPr>
        <w:tabs>
          <w:tab w:val="center" w:pos="4513"/>
          <w:tab w:val="right" w:pos="9026"/>
        </w:tabs>
        <w:jc w:val="center"/>
        <w:rPr>
          <w:rFonts w:eastAsiaTheme="minorHAnsi" w:cs="Arial"/>
          <w:b/>
          <w:spacing w:val="0"/>
          <w:sz w:val="22"/>
          <w:szCs w:val="22"/>
          <w:lang w:eastAsia="en-US"/>
        </w:rPr>
      </w:pPr>
      <w:r w:rsidRPr="00747C02">
        <w:rPr>
          <w:rFonts w:eastAsiaTheme="minorHAnsi" w:cs="Arial"/>
          <w:b/>
          <w:spacing w:val="0"/>
          <w:sz w:val="22"/>
          <w:szCs w:val="22"/>
          <w:lang w:eastAsia="en-US"/>
        </w:rPr>
        <w:t xml:space="preserve">Department of </w:t>
      </w:r>
      <w:r w:rsidR="005C776F">
        <w:rPr>
          <w:rFonts w:eastAsiaTheme="minorHAnsi" w:cs="Arial"/>
          <w:b/>
          <w:spacing w:val="0"/>
          <w:sz w:val="22"/>
          <w:szCs w:val="22"/>
          <w:lang w:eastAsia="en-US"/>
        </w:rPr>
        <w:t xml:space="preserve">Youth Justice </w:t>
      </w:r>
      <w:r w:rsidRPr="00747C02">
        <w:rPr>
          <w:rFonts w:eastAsiaTheme="minorHAnsi" w:cs="Arial"/>
          <w:b/>
          <w:spacing w:val="0"/>
          <w:sz w:val="22"/>
          <w:szCs w:val="22"/>
          <w:lang w:eastAsia="en-US"/>
        </w:rPr>
        <w:t>Funding Declaration 201</w:t>
      </w:r>
      <w:r>
        <w:rPr>
          <w:rFonts w:eastAsiaTheme="minorHAnsi" w:cs="Arial"/>
          <w:b/>
          <w:spacing w:val="0"/>
          <w:sz w:val="22"/>
          <w:szCs w:val="22"/>
          <w:lang w:eastAsia="en-US"/>
        </w:rPr>
        <w:t>9</w:t>
      </w:r>
    </w:p>
    <w:p w14:paraId="45041211" w14:textId="77777777" w:rsidR="00932450" w:rsidRPr="00747C02" w:rsidRDefault="00932450" w:rsidP="00932450">
      <w:pPr>
        <w:tabs>
          <w:tab w:val="center" w:pos="4513"/>
          <w:tab w:val="right" w:pos="9026"/>
        </w:tabs>
        <w:jc w:val="center"/>
        <w:rPr>
          <w:rFonts w:asciiTheme="minorHAnsi" w:eastAsiaTheme="minorHAnsi" w:hAnsiTheme="minorHAnsi" w:cstheme="minorBidi"/>
          <w:spacing w:val="0"/>
          <w:sz w:val="22"/>
          <w:szCs w:val="22"/>
          <w:lang w:eastAsia="en-US"/>
        </w:rPr>
      </w:pPr>
      <w:r w:rsidRPr="00747C02">
        <w:rPr>
          <w:rFonts w:eastAsiaTheme="minorHAnsi" w:cs="Arial"/>
          <w:b/>
          <w:i/>
          <w:spacing w:val="0"/>
          <w:sz w:val="22"/>
          <w:szCs w:val="22"/>
          <w:lang w:eastAsia="en-US"/>
        </w:rPr>
        <w:t>Community Services Act 2007, section 12</w:t>
      </w:r>
    </w:p>
    <w:p w14:paraId="4835E3E0" w14:textId="77777777" w:rsidR="00932450" w:rsidRPr="00747C02" w:rsidRDefault="00932450" w:rsidP="00932450">
      <w:pPr>
        <w:pBdr>
          <w:bottom w:val="single" w:sz="12" w:space="1" w:color="auto"/>
        </w:pBdr>
        <w:spacing w:after="200" w:line="276" w:lineRule="auto"/>
        <w:rPr>
          <w:rFonts w:asciiTheme="minorHAnsi" w:eastAsiaTheme="minorHAnsi" w:hAnsiTheme="minorHAnsi" w:cstheme="minorBidi"/>
          <w:spacing w:val="0"/>
          <w:sz w:val="22"/>
          <w:szCs w:val="22"/>
          <w:lang w:eastAsia="en-US"/>
        </w:rPr>
      </w:pPr>
    </w:p>
    <w:p w14:paraId="5673F013" w14:textId="77777777" w:rsidR="00932450" w:rsidRPr="00747C02" w:rsidRDefault="00932450" w:rsidP="001B5A59">
      <w:pPr>
        <w:numPr>
          <w:ilvl w:val="0"/>
          <w:numId w:val="1"/>
        </w:numPr>
        <w:spacing w:after="180"/>
        <w:ind w:left="714" w:hanging="357"/>
        <w:rPr>
          <w:rFonts w:eastAsiaTheme="minorHAnsi" w:cs="Arial"/>
          <w:b/>
          <w:spacing w:val="0"/>
          <w:sz w:val="22"/>
          <w:szCs w:val="22"/>
          <w:lang w:eastAsia="en-US"/>
        </w:rPr>
      </w:pPr>
      <w:r w:rsidRPr="00747C02">
        <w:rPr>
          <w:rFonts w:eastAsiaTheme="minorHAnsi" w:cs="Arial"/>
          <w:b/>
          <w:spacing w:val="0"/>
          <w:sz w:val="22"/>
          <w:szCs w:val="22"/>
          <w:lang w:eastAsia="en-US"/>
        </w:rPr>
        <w:t>Short Title</w:t>
      </w:r>
    </w:p>
    <w:p w14:paraId="38CDF1BA" w14:textId="72A045E1" w:rsidR="00932450" w:rsidRPr="00747C02" w:rsidRDefault="00932450" w:rsidP="001B5A59">
      <w:pPr>
        <w:spacing w:after="200"/>
        <w:ind w:left="720"/>
        <w:rPr>
          <w:rFonts w:eastAsiaTheme="minorHAnsi" w:cs="Arial"/>
          <w:spacing w:val="0"/>
          <w:sz w:val="22"/>
          <w:szCs w:val="22"/>
          <w:lang w:eastAsia="en-US"/>
        </w:rPr>
      </w:pPr>
      <w:r w:rsidRPr="00747C02">
        <w:rPr>
          <w:rFonts w:eastAsiaTheme="minorHAnsi" w:cs="Arial"/>
          <w:spacing w:val="0"/>
          <w:sz w:val="22"/>
          <w:szCs w:val="22"/>
          <w:lang w:eastAsia="en-US"/>
        </w:rPr>
        <w:t xml:space="preserve">This declaration may be cited as the Department of </w:t>
      </w:r>
      <w:r w:rsidR="005C776F">
        <w:rPr>
          <w:rFonts w:eastAsiaTheme="minorHAnsi" w:cs="Arial"/>
          <w:spacing w:val="0"/>
          <w:sz w:val="22"/>
          <w:szCs w:val="22"/>
          <w:lang w:eastAsia="en-US"/>
        </w:rPr>
        <w:t xml:space="preserve">Youth Justice </w:t>
      </w:r>
      <w:r w:rsidRPr="00747C02">
        <w:rPr>
          <w:rFonts w:eastAsiaTheme="minorHAnsi" w:cs="Arial"/>
          <w:spacing w:val="0"/>
          <w:sz w:val="22"/>
          <w:szCs w:val="22"/>
          <w:lang w:eastAsia="en-US"/>
        </w:rPr>
        <w:t>Funding Declaration 201</w:t>
      </w:r>
      <w:r>
        <w:rPr>
          <w:rFonts w:eastAsiaTheme="minorHAnsi" w:cs="Arial"/>
          <w:spacing w:val="0"/>
          <w:sz w:val="22"/>
          <w:szCs w:val="22"/>
          <w:lang w:eastAsia="en-US"/>
        </w:rPr>
        <w:t>9</w:t>
      </w:r>
      <w:r w:rsidRPr="00747C02">
        <w:rPr>
          <w:rFonts w:eastAsiaTheme="minorHAnsi" w:cs="Arial"/>
          <w:spacing w:val="0"/>
          <w:sz w:val="22"/>
          <w:szCs w:val="22"/>
          <w:lang w:eastAsia="en-US"/>
        </w:rPr>
        <w:t>.</w:t>
      </w:r>
    </w:p>
    <w:p w14:paraId="4FBF4AD4" w14:textId="77777777" w:rsidR="00932450" w:rsidRPr="00747C02" w:rsidRDefault="00932450" w:rsidP="001B5A59">
      <w:pPr>
        <w:numPr>
          <w:ilvl w:val="0"/>
          <w:numId w:val="1"/>
        </w:numPr>
        <w:spacing w:after="200"/>
        <w:rPr>
          <w:rFonts w:eastAsiaTheme="minorHAnsi" w:cs="Arial"/>
          <w:b/>
          <w:spacing w:val="0"/>
          <w:sz w:val="22"/>
          <w:szCs w:val="22"/>
          <w:lang w:eastAsia="en-US"/>
        </w:rPr>
      </w:pPr>
      <w:r w:rsidRPr="00747C02">
        <w:rPr>
          <w:rFonts w:eastAsiaTheme="minorHAnsi" w:cs="Arial"/>
          <w:b/>
          <w:spacing w:val="0"/>
          <w:sz w:val="22"/>
          <w:szCs w:val="22"/>
          <w:lang w:eastAsia="en-US"/>
        </w:rPr>
        <w:t>Commencement</w:t>
      </w:r>
    </w:p>
    <w:p w14:paraId="78A6942F" w14:textId="77777777" w:rsidR="00932450" w:rsidRPr="00747C02" w:rsidRDefault="00932450" w:rsidP="001B5A59">
      <w:pPr>
        <w:spacing w:after="200"/>
        <w:ind w:left="720"/>
        <w:rPr>
          <w:rFonts w:eastAsiaTheme="minorHAnsi" w:cs="Arial"/>
          <w:spacing w:val="0"/>
          <w:sz w:val="22"/>
          <w:szCs w:val="22"/>
          <w:lang w:eastAsia="en-US"/>
        </w:rPr>
      </w:pPr>
      <w:r w:rsidRPr="00747C02">
        <w:rPr>
          <w:rFonts w:eastAsiaTheme="minorHAnsi" w:cs="Arial"/>
          <w:spacing w:val="0"/>
          <w:sz w:val="22"/>
          <w:szCs w:val="22"/>
          <w:lang w:eastAsia="en-US"/>
        </w:rPr>
        <w:t xml:space="preserve">This declaration commences </w:t>
      </w:r>
      <w:r w:rsidRPr="000E15EF">
        <w:rPr>
          <w:rFonts w:eastAsiaTheme="minorHAnsi" w:cs="Arial"/>
          <w:spacing w:val="0"/>
          <w:sz w:val="22"/>
          <w:szCs w:val="22"/>
          <w:lang w:eastAsia="en-US"/>
        </w:rPr>
        <w:t>on 1 October 2019.</w:t>
      </w:r>
    </w:p>
    <w:p w14:paraId="298FC1DE" w14:textId="77777777" w:rsidR="00932450" w:rsidRPr="00747C02" w:rsidRDefault="00932450" w:rsidP="001B5A59">
      <w:pPr>
        <w:numPr>
          <w:ilvl w:val="0"/>
          <w:numId w:val="1"/>
        </w:numPr>
        <w:spacing w:after="200"/>
        <w:rPr>
          <w:rFonts w:eastAsiaTheme="minorHAnsi" w:cs="Arial"/>
          <w:b/>
          <w:spacing w:val="0"/>
          <w:sz w:val="22"/>
          <w:szCs w:val="22"/>
          <w:lang w:eastAsia="en-US"/>
        </w:rPr>
      </w:pPr>
      <w:r w:rsidRPr="00747C02">
        <w:rPr>
          <w:rFonts w:eastAsiaTheme="minorHAnsi" w:cs="Arial"/>
          <w:b/>
          <w:spacing w:val="0"/>
          <w:sz w:val="22"/>
          <w:szCs w:val="22"/>
          <w:lang w:eastAsia="en-US"/>
        </w:rPr>
        <w:t>Funding</w:t>
      </w:r>
    </w:p>
    <w:p w14:paraId="0B0D1F9E" w14:textId="77777777" w:rsidR="00932450" w:rsidRPr="001B5A59" w:rsidRDefault="00932450" w:rsidP="001B5A59">
      <w:pPr>
        <w:spacing w:after="200"/>
        <w:ind w:left="720"/>
        <w:rPr>
          <w:rFonts w:eastAsiaTheme="minorHAnsi" w:cs="Arial"/>
          <w:i/>
          <w:spacing w:val="0"/>
          <w:sz w:val="22"/>
          <w:szCs w:val="22"/>
          <w:lang w:eastAsia="en-US"/>
        </w:rPr>
      </w:pPr>
      <w:r w:rsidRPr="00747C02">
        <w:rPr>
          <w:rFonts w:eastAsiaTheme="minorHAnsi" w:cs="Arial"/>
          <w:spacing w:val="0"/>
          <w:sz w:val="22"/>
          <w:szCs w:val="22"/>
          <w:lang w:eastAsia="en-US"/>
        </w:rPr>
        <w:t xml:space="preserve">This declaration relates to the following funding provided, or available to be provided, under a program of funding administered by the Department of </w:t>
      </w:r>
      <w:r w:rsidR="005C776F">
        <w:rPr>
          <w:rFonts w:eastAsiaTheme="minorHAnsi" w:cs="Arial"/>
          <w:spacing w:val="0"/>
          <w:sz w:val="22"/>
          <w:szCs w:val="22"/>
          <w:lang w:eastAsia="en-US"/>
        </w:rPr>
        <w:t xml:space="preserve">Youth Justice </w:t>
      </w:r>
      <w:r w:rsidRPr="00747C02">
        <w:rPr>
          <w:rFonts w:eastAsiaTheme="minorHAnsi" w:cs="Arial"/>
          <w:spacing w:val="0"/>
          <w:sz w:val="22"/>
          <w:szCs w:val="22"/>
          <w:lang w:eastAsia="en-US"/>
        </w:rPr>
        <w:t>(</w:t>
      </w:r>
      <w:r w:rsidRPr="001B5A59">
        <w:rPr>
          <w:rFonts w:eastAsiaTheme="minorHAnsi" w:cs="Arial"/>
          <w:b/>
          <w:i/>
          <w:spacing w:val="0"/>
          <w:sz w:val="22"/>
          <w:szCs w:val="22"/>
          <w:lang w:eastAsia="en-US"/>
        </w:rPr>
        <w:t xml:space="preserve">the funding) </w:t>
      </w:r>
      <w:r w:rsidRPr="001B5A59">
        <w:rPr>
          <w:rFonts w:eastAsiaTheme="minorHAnsi" w:cs="Arial"/>
          <w:i/>
          <w:spacing w:val="0"/>
          <w:sz w:val="22"/>
          <w:szCs w:val="22"/>
          <w:lang w:eastAsia="en-US"/>
        </w:rPr>
        <w:t xml:space="preserve">– </w:t>
      </w:r>
    </w:p>
    <w:p w14:paraId="1182AC32" w14:textId="77777777" w:rsidR="00932450" w:rsidRDefault="005C776F" w:rsidP="00AD19F8">
      <w:pPr>
        <w:spacing w:after="180"/>
        <w:ind w:left="720"/>
        <w:rPr>
          <w:rFonts w:eastAsiaTheme="minorHAnsi" w:cs="Arial"/>
          <w:b/>
          <w:i/>
          <w:spacing w:val="0"/>
          <w:sz w:val="22"/>
          <w:szCs w:val="22"/>
          <w:lang w:eastAsia="en-US"/>
        </w:rPr>
      </w:pPr>
      <w:r w:rsidRPr="005C776F">
        <w:rPr>
          <w:rFonts w:eastAsiaTheme="minorHAnsi" w:cs="Arial"/>
          <w:b/>
          <w:i/>
          <w:spacing w:val="0"/>
          <w:sz w:val="22"/>
          <w:szCs w:val="22"/>
          <w:lang w:eastAsia="en-US"/>
        </w:rPr>
        <w:t>Youth Justice Funding</w:t>
      </w:r>
    </w:p>
    <w:tbl>
      <w:tblPr>
        <w:tblStyle w:val="TableGrid"/>
        <w:tblW w:w="0" w:type="auto"/>
        <w:tblInd w:w="704" w:type="dxa"/>
        <w:tblLook w:val="04A0" w:firstRow="1" w:lastRow="0" w:firstColumn="1" w:lastColumn="0" w:noHBand="0" w:noVBand="1"/>
      </w:tblPr>
      <w:tblGrid>
        <w:gridCol w:w="3264"/>
        <w:gridCol w:w="4958"/>
      </w:tblGrid>
      <w:tr w:rsidR="005C776F" w14:paraId="3D78357C" w14:textId="77777777" w:rsidTr="006E1BFA">
        <w:trPr>
          <w:trHeight w:val="353"/>
        </w:trPr>
        <w:tc>
          <w:tcPr>
            <w:tcW w:w="3264" w:type="dxa"/>
            <w:shd w:val="clear" w:color="auto" w:fill="BFBFBF" w:themeFill="background1" w:themeFillShade="BF"/>
            <w:vAlign w:val="center"/>
          </w:tcPr>
          <w:p w14:paraId="5D14ABB1" w14:textId="77777777" w:rsidR="005C776F" w:rsidRPr="005C776F" w:rsidRDefault="005C776F" w:rsidP="005C776F">
            <w:pPr>
              <w:spacing w:after="180" w:line="360" w:lineRule="auto"/>
              <w:ind w:left="313" w:hanging="313"/>
              <w:jc w:val="center"/>
              <w:rPr>
                <w:rFonts w:eastAsiaTheme="minorHAnsi" w:cs="Arial"/>
                <w:b/>
                <w:spacing w:val="0"/>
                <w:sz w:val="22"/>
                <w:szCs w:val="22"/>
                <w:lang w:eastAsia="en-US"/>
              </w:rPr>
            </w:pPr>
            <w:r w:rsidRPr="005C776F">
              <w:rPr>
                <w:rFonts w:eastAsiaTheme="minorHAnsi" w:cs="Arial"/>
                <w:b/>
                <w:spacing w:val="0"/>
                <w:sz w:val="22"/>
                <w:szCs w:val="22"/>
                <w:lang w:eastAsia="en-US"/>
              </w:rPr>
              <w:t>Program</w:t>
            </w:r>
          </w:p>
        </w:tc>
        <w:tc>
          <w:tcPr>
            <w:tcW w:w="4958" w:type="dxa"/>
            <w:shd w:val="clear" w:color="auto" w:fill="BFBFBF" w:themeFill="background1" w:themeFillShade="BF"/>
            <w:vAlign w:val="center"/>
          </w:tcPr>
          <w:p w14:paraId="7D0B819C" w14:textId="77777777" w:rsidR="005C776F" w:rsidRPr="005C776F" w:rsidRDefault="005C776F" w:rsidP="005C776F">
            <w:pPr>
              <w:spacing w:after="180" w:line="360" w:lineRule="auto"/>
              <w:jc w:val="center"/>
              <w:rPr>
                <w:rFonts w:eastAsiaTheme="minorHAnsi" w:cs="Arial"/>
                <w:b/>
                <w:spacing w:val="0"/>
                <w:sz w:val="22"/>
                <w:szCs w:val="22"/>
                <w:lang w:eastAsia="en-US"/>
              </w:rPr>
            </w:pPr>
            <w:r w:rsidRPr="005C776F">
              <w:rPr>
                <w:rFonts w:eastAsiaTheme="minorHAnsi" w:cs="Arial"/>
                <w:b/>
                <w:spacing w:val="0"/>
                <w:sz w:val="22"/>
                <w:szCs w:val="22"/>
                <w:lang w:eastAsia="en-US"/>
              </w:rPr>
              <w:t>Initiatives/Services</w:t>
            </w:r>
          </w:p>
        </w:tc>
      </w:tr>
      <w:tr w:rsidR="005C776F" w14:paraId="1569AEE0" w14:textId="77777777" w:rsidTr="006E1BFA">
        <w:tc>
          <w:tcPr>
            <w:tcW w:w="3264" w:type="dxa"/>
          </w:tcPr>
          <w:p w14:paraId="47A89A9B" w14:textId="77777777" w:rsidR="005C776F" w:rsidRPr="005C776F" w:rsidRDefault="005C776F" w:rsidP="005C776F">
            <w:pPr>
              <w:pStyle w:val="ListParagraph"/>
              <w:numPr>
                <w:ilvl w:val="0"/>
                <w:numId w:val="3"/>
              </w:numPr>
              <w:spacing w:after="180" w:line="360" w:lineRule="auto"/>
              <w:rPr>
                <w:rFonts w:eastAsiaTheme="minorHAnsi" w:cs="Arial"/>
                <w:spacing w:val="0"/>
                <w:sz w:val="22"/>
                <w:szCs w:val="22"/>
                <w:lang w:eastAsia="en-US"/>
              </w:rPr>
            </w:pPr>
            <w:r>
              <w:rPr>
                <w:rFonts w:eastAsiaTheme="minorHAnsi" w:cs="Arial"/>
                <w:spacing w:val="0"/>
                <w:sz w:val="22"/>
                <w:szCs w:val="22"/>
                <w:lang w:eastAsia="en-US"/>
              </w:rPr>
              <w:t>Youth Justice</w:t>
            </w:r>
          </w:p>
        </w:tc>
        <w:tc>
          <w:tcPr>
            <w:tcW w:w="4958" w:type="dxa"/>
          </w:tcPr>
          <w:p w14:paraId="2A400DDE" w14:textId="77777777" w:rsidR="005C776F" w:rsidRDefault="005C776F" w:rsidP="005C776F">
            <w:pPr>
              <w:pStyle w:val="ListParagraph"/>
              <w:numPr>
                <w:ilvl w:val="0"/>
                <w:numId w:val="4"/>
              </w:numPr>
              <w:spacing w:after="180" w:line="360" w:lineRule="auto"/>
              <w:rPr>
                <w:rFonts w:eastAsiaTheme="minorHAnsi" w:cs="Arial"/>
                <w:spacing w:val="0"/>
                <w:sz w:val="22"/>
                <w:szCs w:val="22"/>
                <w:lang w:eastAsia="en-US"/>
              </w:rPr>
            </w:pPr>
            <w:r>
              <w:rPr>
                <w:rFonts w:eastAsiaTheme="minorHAnsi" w:cs="Arial"/>
                <w:spacing w:val="0"/>
                <w:sz w:val="22"/>
                <w:szCs w:val="22"/>
                <w:lang w:eastAsia="en-US"/>
              </w:rPr>
              <w:t>Young offender support services</w:t>
            </w:r>
          </w:p>
          <w:p w14:paraId="7660C427" w14:textId="77777777" w:rsidR="005C776F" w:rsidRDefault="005C776F" w:rsidP="005C776F">
            <w:pPr>
              <w:pStyle w:val="ListParagraph"/>
              <w:numPr>
                <w:ilvl w:val="0"/>
                <w:numId w:val="4"/>
              </w:numPr>
              <w:spacing w:after="180" w:line="360" w:lineRule="auto"/>
              <w:rPr>
                <w:rFonts w:eastAsiaTheme="minorHAnsi" w:cs="Arial"/>
                <w:spacing w:val="0"/>
                <w:sz w:val="22"/>
                <w:szCs w:val="22"/>
                <w:lang w:eastAsia="en-US"/>
              </w:rPr>
            </w:pPr>
            <w:r>
              <w:rPr>
                <w:rFonts w:eastAsiaTheme="minorHAnsi" w:cs="Arial"/>
                <w:spacing w:val="0"/>
                <w:sz w:val="22"/>
                <w:szCs w:val="22"/>
                <w:lang w:eastAsia="en-US"/>
              </w:rPr>
              <w:t>Specialist counselling services</w:t>
            </w:r>
          </w:p>
          <w:p w14:paraId="79520972" w14:textId="77777777" w:rsidR="005C776F" w:rsidRDefault="005C776F" w:rsidP="005C776F">
            <w:pPr>
              <w:pStyle w:val="ListParagraph"/>
              <w:numPr>
                <w:ilvl w:val="0"/>
                <w:numId w:val="4"/>
              </w:numPr>
              <w:spacing w:after="180" w:line="360" w:lineRule="auto"/>
              <w:rPr>
                <w:rFonts w:eastAsiaTheme="minorHAnsi" w:cs="Arial"/>
                <w:spacing w:val="0"/>
                <w:sz w:val="22"/>
                <w:szCs w:val="22"/>
                <w:lang w:eastAsia="en-US"/>
              </w:rPr>
            </w:pPr>
            <w:r>
              <w:rPr>
                <w:rFonts w:eastAsiaTheme="minorHAnsi" w:cs="Arial"/>
                <w:spacing w:val="0"/>
                <w:sz w:val="22"/>
                <w:szCs w:val="22"/>
                <w:lang w:eastAsia="en-US"/>
              </w:rPr>
              <w:t>Bail support services</w:t>
            </w:r>
          </w:p>
          <w:p w14:paraId="5B414F3A" w14:textId="77777777" w:rsidR="005C776F" w:rsidRDefault="005C776F" w:rsidP="005C776F">
            <w:pPr>
              <w:pStyle w:val="ListParagraph"/>
              <w:numPr>
                <w:ilvl w:val="0"/>
                <w:numId w:val="4"/>
              </w:numPr>
              <w:spacing w:after="180" w:line="360" w:lineRule="auto"/>
              <w:rPr>
                <w:rFonts w:eastAsiaTheme="minorHAnsi" w:cs="Arial"/>
                <w:spacing w:val="0"/>
                <w:sz w:val="22"/>
                <w:szCs w:val="22"/>
                <w:lang w:eastAsia="en-US"/>
              </w:rPr>
            </w:pPr>
            <w:r>
              <w:rPr>
                <w:rFonts w:eastAsiaTheme="minorHAnsi" w:cs="Arial"/>
                <w:spacing w:val="0"/>
                <w:sz w:val="22"/>
                <w:szCs w:val="22"/>
                <w:lang w:eastAsia="en-US"/>
              </w:rPr>
              <w:t>Sector support</w:t>
            </w:r>
            <w:r w:rsidR="00FB7F92">
              <w:rPr>
                <w:rFonts w:eastAsiaTheme="minorHAnsi" w:cs="Arial"/>
                <w:spacing w:val="0"/>
                <w:sz w:val="22"/>
                <w:szCs w:val="22"/>
                <w:lang w:eastAsia="en-US"/>
              </w:rPr>
              <w:t xml:space="preserve"> and implementation</w:t>
            </w:r>
          </w:p>
          <w:p w14:paraId="738944CD" w14:textId="77777777" w:rsidR="005C776F" w:rsidRDefault="005C776F" w:rsidP="005C776F">
            <w:pPr>
              <w:pStyle w:val="ListParagraph"/>
              <w:numPr>
                <w:ilvl w:val="0"/>
                <w:numId w:val="4"/>
              </w:numPr>
              <w:spacing w:after="180" w:line="360" w:lineRule="auto"/>
              <w:rPr>
                <w:rFonts w:eastAsiaTheme="minorHAnsi" w:cs="Arial"/>
                <w:spacing w:val="0"/>
                <w:sz w:val="22"/>
                <w:szCs w:val="22"/>
                <w:lang w:eastAsia="en-US"/>
              </w:rPr>
            </w:pPr>
            <w:r>
              <w:rPr>
                <w:rFonts w:eastAsiaTheme="minorHAnsi" w:cs="Arial"/>
                <w:spacing w:val="0"/>
                <w:sz w:val="22"/>
                <w:szCs w:val="22"/>
                <w:lang w:eastAsia="en-US"/>
              </w:rPr>
              <w:t>Family led decision making</w:t>
            </w:r>
          </w:p>
          <w:p w14:paraId="7421596A" w14:textId="77777777" w:rsidR="005C776F" w:rsidRDefault="005C776F" w:rsidP="005C776F">
            <w:pPr>
              <w:pStyle w:val="ListParagraph"/>
              <w:numPr>
                <w:ilvl w:val="0"/>
                <w:numId w:val="4"/>
              </w:numPr>
              <w:spacing w:after="180" w:line="360" w:lineRule="auto"/>
              <w:rPr>
                <w:rFonts w:eastAsiaTheme="minorHAnsi" w:cs="Arial"/>
                <w:spacing w:val="0"/>
                <w:sz w:val="22"/>
                <w:szCs w:val="22"/>
                <w:lang w:eastAsia="en-US"/>
              </w:rPr>
            </w:pPr>
            <w:r>
              <w:rPr>
                <w:rFonts w:eastAsiaTheme="minorHAnsi" w:cs="Arial"/>
                <w:spacing w:val="0"/>
                <w:sz w:val="22"/>
                <w:szCs w:val="22"/>
                <w:lang w:eastAsia="en-US"/>
              </w:rPr>
              <w:t>Cultural mentoring and support</w:t>
            </w:r>
          </w:p>
          <w:p w14:paraId="3E703BE8" w14:textId="77777777" w:rsidR="005C776F" w:rsidRDefault="005C776F" w:rsidP="005C776F">
            <w:pPr>
              <w:pStyle w:val="ListParagraph"/>
              <w:numPr>
                <w:ilvl w:val="0"/>
                <w:numId w:val="4"/>
              </w:numPr>
              <w:spacing w:after="180" w:line="360" w:lineRule="auto"/>
              <w:rPr>
                <w:rFonts w:eastAsiaTheme="minorHAnsi" w:cs="Arial"/>
                <w:spacing w:val="0"/>
                <w:sz w:val="22"/>
                <w:szCs w:val="22"/>
                <w:lang w:eastAsia="en-US"/>
              </w:rPr>
            </w:pPr>
            <w:r>
              <w:rPr>
                <w:rFonts w:eastAsiaTheme="minorHAnsi" w:cs="Arial"/>
                <w:spacing w:val="0"/>
                <w:sz w:val="22"/>
                <w:szCs w:val="22"/>
                <w:lang w:eastAsia="en-US"/>
              </w:rPr>
              <w:t>Diversion and after hours response</w:t>
            </w:r>
          </w:p>
          <w:p w14:paraId="72B70B9E" w14:textId="77777777" w:rsidR="005C776F" w:rsidRDefault="005C776F" w:rsidP="005C776F">
            <w:pPr>
              <w:pStyle w:val="ListParagraph"/>
              <w:numPr>
                <w:ilvl w:val="0"/>
                <w:numId w:val="4"/>
              </w:numPr>
              <w:spacing w:after="180" w:line="360" w:lineRule="auto"/>
              <w:rPr>
                <w:rFonts w:eastAsiaTheme="minorHAnsi" w:cs="Arial"/>
                <w:spacing w:val="0"/>
                <w:sz w:val="22"/>
                <w:szCs w:val="22"/>
                <w:lang w:eastAsia="en-US"/>
              </w:rPr>
            </w:pPr>
            <w:r>
              <w:rPr>
                <w:rFonts w:eastAsiaTheme="minorHAnsi" w:cs="Arial"/>
                <w:spacing w:val="0"/>
                <w:sz w:val="22"/>
                <w:szCs w:val="22"/>
                <w:lang w:eastAsia="en-US"/>
              </w:rPr>
              <w:t>Supervised community accommodation</w:t>
            </w:r>
          </w:p>
          <w:p w14:paraId="7345B284" w14:textId="77777777" w:rsidR="005C776F" w:rsidRDefault="005C776F" w:rsidP="005C776F">
            <w:pPr>
              <w:pStyle w:val="ListParagraph"/>
              <w:numPr>
                <w:ilvl w:val="0"/>
                <w:numId w:val="4"/>
              </w:numPr>
              <w:spacing w:after="180" w:line="360" w:lineRule="auto"/>
              <w:rPr>
                <w:rFonts w:eastAsiaTheme="minorHAnsi" w:cs="Arial"/>
                <w:spacing w:val="0"/>
                <w:sz w:val="22"/>
                <w:szCs w:val="22"/>
                <w:lang w:eastAsia="en-US"/>
              </w:rPr>
            </w:pPr>
            <w:r>
              <w:rPr>
                <w:rFonts w:eastAsiaTheme="minorHAnsi" w:cs="Arial"/>
                <w:spacing w:val="0"/>
                <w:sz w:val="22"/>
                <w:szCs w:val="22"/>
                <w:lang w:eastAsia="en-US"/>
              </w:rPr>
              <w:t>Legal advocacy</w:t>
            </w:r>
          </w:p>
          <w:p w14:paraId="53DE778D" w14:textId="780715D1" w:rsidR="00641B75" w:rsidRPr="00641B75" w:rsidRDefault="00641B75" w:rsidP="00641B75">
            <w:pPr>
              <w:pStyle w:val="ListParagraph"/>
              <w:numPr>
                <w:ilvl w:val="0"/>
                <w:numId w:val="4"/>
              </w:numPr>
              <w:spacing w:after="180" w:line="360" w:lineRule="auto"/>
              <w:rPr>
                <w:rFonts w:eastAsiaTheme="minorHAnsi" w:cs="Arial"/>
                <w:spacing w:val="0"/>
                <w:sz w:val="22"/>
                <w:szCs w:val="22"/>
                <w:lang w:eastAsia="en-US"/>
              </w:rPr>
            </w:pPr>
            <w:r w:rsidRPr="00641B75">
              <w:rPr>
                <w:rFonts w:eastAsiaTheme="minorHAnsi" w:cs="Arial"/>
                <w:spacing w:val="0"/>
                <w:sz w:val="22"/>
                <w:szCs w:val="22"/>
                <w:lang w:eastAsia="en-US"/>
              </w:rPr>
              <w:t xml:space="preserve">Community Youth Response and Diversion </w:t>
            </w:r>
          </w:p>
          <w:p w14:paraId="616C5E47" w14:textId="086A25CA" w:rsidR="00641B75" w:rsidRPr="005C776F" w:rsidRDefault="00641B75" w:rsidP="003C286A">
            <w:pPr>
              <w:pStyle w:val="ListParagraph"/>
              <w:numPr>
                <w:ilvl w:val="0"/>
                <w:numId w:val="4"/>
              </w:numPr>
              <w:spacing w:after="180" w:line="360" w:lineRule="auto"/>
              <w:rPr>
                <w:rFonts w:eastAsiaTheme="minorHAnsi" w:cs="Arial"/>
                <w:spacing w:val="0"/>
                <w:sz w:val="22"/>
                <w:szCs w:val="22"/>
                <w:lang w:eastAsia="en-US"/>
              </w:rPr>
            </w:pPr>
            <w:r w:rsidRPr="00641B75">
              <w:rPr>
                <w:rFonts w:eastAsiaTheme="minorHAnsi" w:cs="Arial"/>
                <w:spacing w:val="0"/>
                <w:sz w:val="22"/>
                <w:szCs w:val="22"/>
                <w:lang w:eastAsia="en-US"/>
              </w:rPr>
              <w:t>Transitional Hub</w:t>
            </w:r>
          </w:p>
        </w:tc>
      </w:tr>
    </w:tbl>
    <w:p w14:paraId="12667C21" w14:textId="77777777" w:rsidR="005C776F" w:rsidRPr="005C776F" w:rsidRDefault="005C776F" w:rsidP="00932450">
      <w:pPr>
        <w:spacing w:after="180" w:line="360" w:lineRule="auto"/>
        <w:ind w:left="720"/>
        <w:rPr>
          <w:rFonts w:eastAsiaTheme="minorHAnsi" w:cs="Arial"/>
          <w:spacing w:val="0"/>
          <w:sz w:val="22"/>
          <w:szCs w:val="22"/>
          <w:lang w:eastAsia="en-US"/>
        </w:rPr>
      </w:pPr>
    </w:p>
    <w:p w14:paraId="00B4ACAC" w14:textId="77777777" w:rsidR="00932450" w:rsidRPr="00747C02" w:rsidRDefault="00932450" w:rsidP="00932450">
      <w:pPr>
        <w:numPr>
          <w:ilvl w:val="0"/>
          <w:numId w:val="1"/>
        </w:numPr>
        <w:spacing w:before="240" w:after="200" w:line="276" w:lineRule="auto"/>
        <w:ind w:left="714" w:hanging="357"/>
        <w:contextualSpacing/>
        <w:rPr>
          <w:rFonts w:eastAsiaTheme="minorHAnsi" w:cs="Arial"/>
          <w:b/>
          <w:spacing w:val="0"/>
          <w:sz w:val="22"/>
          <w:szCs w:val="22"/>
          <w:lang w:eastAsia="en-US"/>
        </w:rPr>
      </w:pPr>
      <w:r w:rsidRPr="00747C02">
        <w:rPr>
          <w:rFonts w:eastAsiaTheme="minorHAnsi" w:cs="Arial"/>
          <w:b/>
          <w:spacing w:val="0"/>
          <w:sz w:val="22"/>
          <w:szCs w:val="22"/>
          <w:lang w:eastAsia="en-US"/>
        </w:rPr>
        <w:t>Declaration</w:t>
      </w:r>
    </w:p>
    <w:p w14:paraId="2E50FC2E" w14:textId="77777777" w:rsidR="00932450" w:rsidRPr="00747C02" w:rsidRDefault="00932450" w:rsidP="006E1BFA">
      <w:pPr>
        <w:spacing w:after="200" w:line="276" w:lineRule="auto"/>
        <w:ind w:left="720"/>
        <w:rPr>
          <w:rFonts w:eastAsiaTheme="minorHAnsi" w:cs="Arial"/>
          <w:b/>
          <w:spacing w:val="0"/>
          <w:sz w:val="22"/>
          <w:szCs w:val="22"/>
          <w:lang w:eastAsia="en-US"/>
        </w:rPr>
      </w:pPr>
      <w:r w:rsidRPr="00747C02">
        <w:rPr>
          <w:rFonts w:eastAsiaTheme="minorHAnsi" w:cs="Arial"/>
          <w:spacing w:val="0"/>
          <w:sz w:val="22"/>
          <w:szCs w:val="22"/>
          <w:lang w:eastAsia="en-US"/>
        </w:rPr>
        <w:t xml:space="preserve">The funding is declared to be funding to which the </w:t>
      </w:r>
      <w:r w:rsidRPr="00747C02">
        <w:rPr>
          <w:rFonts w:eastAsiaTheme="minorHAnsi" w:cs="Arial"/>
          <w:i/>
          <w:spacing w:val="0"/>
          <w:sz w:val="22"/>
          <w:szCs w:val="22"/>
          <w:lang w:eastAsia="en-US"/>
        </w:rPr>
        <w:t>Community Services Act 2007</w:t>
      </w:r>
      <w:r w:rsidRPr="00747C02">
        <w:rPr>
          <w:rFonts w:eastAsiaTheme="minorHAnsi" w:cs="Arial"/>
          <w:spacing w:val="0"/>
          <w:sz w:val="22"/>
          <w:szCs w:val="22"/>
          <w:lang w:eastAsia="en-US"/>
        </w:rPr>
        <w:t xml:space="preserve"> applies.</w:t>
      </w:r>
    </w:p>
    <w:p w14:paraId="73E7454E" w14:textId="77777777" w:rsidR="00932450" w:rsidRPr="00747C02" w:rsidRDefault="00932450" w:rsidP="00932450">
      <w:pPr>
        <w:tabs>
          <w:tab w:val="left" w:pos="1"/>
          <w:tab w:val="left" w:pos="709"/>
          <w:tab w:val="left" w:pos="1440"/>
          <w:tab w:val="left" w:pos="2160"/>
        </w:tabs>
        <w:ind w:left="709"/>
        <w:rPr>
          <w:rFonts w:eastAsiaTheme="minorHAnsi" w:cs="Arial"/>
          <w:b/>
          <w:spacing w:val="0"/>
          <w:sz w:val="22"/>
          <w:szCs w:val="22"/>
          <w:lang w:eastAsia="en-US"/>
        </w:rPr>
      </w:pPr>
    </w:p>
    <w:p w14:paraId="0A5AA974" w14:textId="77777777" w:rsidR="00932450" w:rsidRPr="00747C02" w:rsidRDefault="00932450" w:rsidP="00932450">
      <w:pPr>
        <w:tabs>
          <w:tab w:val="left" w:pos="1"/>
          <w:tab w:val="left" w:pos="709"/>
          <w:tab w:val="left" w:pos="1440"/>
          <w:tab w:val="left" w:pos="2160"/>
        </w:tabs>
        <w:ind w:left="709"/>
        <w:rPr>
          <w:rFonts w:eastAsiaTheme="minorHAnsi" w:cs="Arial"/>
          <w:b/>
          <w:spacing w:val="0"/>
          <w:sz w:val="22"/>
          <w:szCs w:val="22"/>
          <w:lang w:eastAsia="en-US"/>
        </w:rPr>
      </w:pPr>
      <w:r>
        <w:rPr>
          <w:rFonts w:eastAsiaTheme="minorHAnsi" w:cs="Arial"/>
          <w:b/>
          <w:spacing w:val="0"/>
          <w:sz w:val="22"/>
          <w:szCs w:val="22"/>
          <w:lang w:eastAsia="en-US"/>
        </w:rPr>
        <w:t>Di Farmer</w:t>
      </w:r>
      <w:r w:rsidRPr="00747C02">
        <w:rPr>
          <w:rFonts w:eastAsiaTheme="minorHAnsi" w:cs="Arial"/>
          <w:b/>
          <w:spacing w:val="0"/>
          <w:sz w:val="22"/>
          <w:szCs w:val="22"/>
          <w:lang w:eastAsia="en-US"/>
        </w:rPr>
        <w:t xml:space="preserve"> MP</w:t>
      </w:r>
    </w:p>
    <w:p w14:paraId="5323766B" w14:textId="77777777" w:rsidR="00932450" w:rsidRPr="00747C02" w:rsidRDefault="00932450" w:rsidP="00932450">
      <w:pPr>
        <w:tabs>
          <w:tab w:val="left" w:pos="1"/>
          <w:tab w:val="left" w:pos="709"/>
          <w:tab w:val="left" w:pos="1440"/>
          <w:tab w:val="left" w:pos="2160"/>
        </w:tabs>
        <w:ind w:left="709"/>
        <w:rPr>
          <w:rFonts w:eastAsiaTheme="minorHAnsi" w:cs="Arial"/>
          <w:b/>
          <w:spacing w:val="0"/>
          <w:sz w:val="22"/>
          <w:szCs w:val="22"/>
          <w:lang w:eastAsia="en-US"/>
        </w:rPr>
      </w:pPr>
      <w:r w:rsidRPr="00747C02">
        <w:rPr>
          <w:rFonts w:eastAsiaTheme="minorHAnsi" w:cs="Arial"/>
          <w:b/>
          <w:spacing w:val="0"/>
          <w:sz w:val="22"/>
          <w:szCs w:val="22"/>
          <w:lang w:eastAsia="en-US"/>
        </w:rPr>
        <w:t>Minister for C</w:t>
      </w:r>
      <w:r>
        <w:rPr>
          <w:rFonts w:eastAsiaTheme="minorHAnsi" w:cs="Arial"/>
          <w:b/>
          <w:spacing w:val="0"/>
          <w:sz w:val="22"/>
          <w:szCs w:val="22"/>
          <w:lang w:eastAsia="en-US"/>
        </w:rPr>
        <w:t>hild Safety, Youth and Women and</w:t>
      </w:r>
    </w:p>
    <w:p w14:paraId="1282D851" w14:textId="77777777" w:rsidR="00932450" w:rsidRPr="00747C02" w:rsidRDefault="00932450" w:rsidP="00932450">
      <w:pPr>
        <w:tabs>
          <w:tab w:val="left" w:pos="1"/>
          <w:tab w:val="left" w:pos="709"/>
          <w:tab w:val="left" w:pos="1440"/>
          <w:tab w:val="left" w:pos="2160"/>
        </w:tabs>
        <w:ind w:left="709"/>
        <w:rPr>
          <w:rFonts w:eastAsiaTheme="minorHAnsi" w:cs="Arial"/>
          <w:b/>
          <w:spacing w:val="0"/>
          <w:sz w:val="22"/>
          <w:szCs w:val="22"/>
          <w:lang w:eastAsia="en-US"/>
        </w:rPr>
      </w:pPr>
      <w:r w:rsidRPr="00747C02">
        <w:rPr>
          <w:rFonts w:eastAsiaTheme="minorHAnsi" w:cs="Arial"/>
          <w:b/>
          <w:spacing w:val="0"/>
          <w:sz w:val="22"/>
          <w:szCs w:val="22"/>
          <w:lang w:eastAsia="en-US"/>
        </w:rPr>
        <w:t>Minister for the Prevention of Domestic and Family Violence</w:t>
      </w:r>
    </w:p>
    <w:p w14:paraId="40B14F0D" w14:textId="77777777" w:rsidR="00932450" w:rsidRDefault="00932450" w:rsidP="00932450">
      <w:pPr>
        <w:tabs>
          <w:tab w:val="left" w:pos="1"/>
          <w:tab w:val="left" w:pos="709"/>
          <w:tab w:val="left" w:pos="1440"/>
          <w:tab w:val="left" w:pos="2160"/>
        </w:tabs>
        <w:ind w:left="709"/>
        <w:rPr>
          <w:rFonts w:eastAsiaTheme="minorHAnsi" w:cs="Arial"/>
          <w:spacing w:val="0"/>
          <w:sz w:val="22"/>
          <w:szCs w:val="22"/>
          <w:lang w:eastAsia="en-US"/>
        </w:rPr>
      </w:pPr>
    </w:p>
    <w:p w14:paraId="6D328554" w14:textId="15A0472A" w:rsidR="00B631E5" w:rsidRDefault="00932450" w:rsidP="00932450">
      <w:r w:rsidRPr="00747C02">
        <w:rPr>
          <w:rFonts w:eastAsiaTheme="minorHAnsi" w:cs="Arial"/>
          <w:spacing w:val="0"/>
          <w:sz w:val="22"/>
          <w:szCs w:val="22"/>
          <w:lang w:eastAsia="en-US"/>
        </w:rPr>
        <w:t xml:space="preserve">           </w:t>
      </w:r>
      <w:r w:rsidR="006F5800">
        <w:rPr>
          <w:rFonts w:eastAsiaTheme="minorHAnsi" w:cs="Arial"/>
          <w:spacing w:val="0"/>
          <w:sz w:val="22"/>
          <w:szCs w:val="22"/>
          <w:lang w:eastAsia="en-US"/>
        </w:rPr>
        <w:t>13/10/2019</w:t>
      </w:r>
      <w:bookmarkStart w:id="0" w:name="_GoBack"/>
      <w:bookmarkEnd w:id="0"/>
    </w:p>
    <w:sectPr w:rsidR="00B631E5" w:rsidSect="00932450">
      <w:pgSz w:w="11906" w:h="16838"/>
      <w:pgMar w:top="1134" w:right="1134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5B3634"/>
    <w:multiLevelType w:val="hybridMultilevel"/>
    <w:tmpl w:val="4EB4D104"/>
    <w:lvl w:ilvl="0" w:tplc="EE12E33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DA378B"/>
    <w:multiLevelType w:val="hybridMultilevel"/>
    <w:tmpl w:val="ADF663F8"/>
    <w:lvl w:ilvl="0" w:tplc="0C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C3B1183"/>
    <w:multiLevelType w:val="hybridMultilevel"/>
    <w:tmpl w:val="F866E246"/>
    <w:lvl w:ilvl="0" w:tplc="A54E3372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67950E2"/>
    <w:multiLevelType w:val="hybridMultilevel"/>
    <w:tmpl w:val="5EA8C5B8"/>
    <w:lvl w:ilvl="0" w:tplc="5FD285B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450"/>
    <w:rsid w:val="000D5EF1"/>
    <w:rsid w:val="0014138A"/>
    <w:rsid w:val="001B5A59"/>
    <w:rsid w:val="003C286A"/>
    <w:rsid w:val="005C776F"/>
    <w:rsid w:val="00641B75"/>
    <w:rsid w:val="006E1BFA"/>
    <w:rsid w:val="006F5800"/>
    <w:rsid w:val="00805952"/>
    <w:rsid w:val="00932450"/>
    <w:rsid w:val="00AD19F8"/>
    <w:rsid w:val="00B631E5"/>
    <w:rsid w:val="00BD02E3"/>
    <w:rsid w:val="00FB7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088AE6"/>
  <w15:chartTrackingRefBased/>
  <w15:docId w15:val="{963EFFFA-0361-4E2B-80B9-AFD2ACBC2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2450"/>
    <w:pPr>
      <w:spacing w:after="0" w:line="240" w:lineRule="auto"/>
    </w:pPr>
    <w:rPr>
      <w:rFonts w:ascii="Arial" w:eastAsia="Times New Roman" w:hAnsi="Arial" w:cs="Times New Roman"/>
      <w:spacing w:val="-3"/>
      <w:sz w:val="24"/>
      <w:szCs w:val="2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932450"/>
    <w:pPr>
      <w:tabs>
        <w:tab w:val="center" w:pos="4153"/>
        <w:tab w:val="right" w:pos="8306"/>
      </w:tabs>
    </w:pPr>
    <w:rPr>
      <w:spacing w:val="0"/>
    </w:rPr>
  </w:style>
  <w:style w:type="character" w:customStyle="1" w:styleId="FooterChar">
    <w:name w:val="Footer Char"/>
    <w:basedOn w:val="DefaultParagraphFont"/>
    <w:link w:val="Footer"/>
    <w:rsid w:val="00932450"/>
    <w:rPr>
      <w:rFonts w:ascii="Arial" w:eastAsia="Times New Roman" w:hAnsi="Arial" w:cs="Times New Roman"/>
      <w:sz w:val="24"/>
      <w:szCs w:val="20"/>
      <w:lang w:eastAsia="en-AU"/>
    </w:rPr>
  </w:style>
  <w:style w:type="paragraph" w:styleId="ListParagraph">
    <w:name w:val="List Paragraph"/>
    <w:basedOn w:val="Normal"/>
    <w:uiPriority w:val="34"/>
    <w:qFormat/>
    <w:rsid w:val="00932450"/>
    <w:pPr>
      <w:ind w:left="720"/>
      <w:contextualSpacing/>
    </w:pPr>
  </w:style>
  <w:style w:type="table" w:styleId="TableGrid">
    <w:name w:val="Table Grid"/>
    <w:basedOn w:val="TableNormal"/>
    <w:uiPriority w:val="39"/>
    <w:rsid w:val="005C77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059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05952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05952"/>
    <w:rPr>
      <w:rFonts w:ascii="Arial" w:eastAsia="Times New Roman" w:hAnsi="Arial" w:cs="Times New Roman"/>
      <w:spacing w:val="-3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59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5952"/>
    <w:rPr>
      <w:rFonts w:ascii="Arial" w:eastAsia="Times New Roman" w:hAnsi="Arial" w:cs="Times New Roman"/>
      <w:b/>
      <w:bCs/>
      <w:spacing w:val="-3"/>
      <w:sz w:val="20"/>
      <w:szCs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595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5952"/>
    <w:rPr>
      <w:rFonts w:ascii="Segoe UI" w:eastAsia="Times New Roman" w:hAnsi="Segoe UI" w:cs="Segoe UI"/>
      <w:spacing w:val="-3"/>
      <w:sz w:val="18"/>
      <w:szCs w:val="18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Youth Justice Community Services Act funding declaraion</vt:lpstr>
    </vt:vector>
  </TitlesOfParts>
  <Company>Queensland Government</Company>
  <LinksUpToDate>false</LinksUpToDate>
  <CharactersWithSpaces>1151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Youth Justice Community Services Act funding declaraion</dc:title>
  <dc:subject>Community Services Act funding declaration</dc:subject>
  <dc:creator>Queensland Government</dc:creator>
  <cp:keywords>YJ, youth justice, funding, CSA, community services act, declaration</cp:keywords>
  <dc:description/>
  <cp:lastModifiedBy>Nicole J Neumann</cp:lastModifiedBy>
  <cp:revision>3</cp:revision>
  <dcterms:created xsi:type="dcterms:W3CDTF">2019-10-16T01:25:00Z</dcterms:created>
  <dcterms:modified xsi:type="dcterms:W3CDTF">2019-10-16T01:26:00Z</dcterms:modified>
</cp:coreProperties>
</file>